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D1D92" w:rsidP="00B44FE6">
      <w:pPr>
        <w:pStyle w:val="BodyAudi"/>
        <w:ind w:right="-46"/>
        <w:jc w:val="right"/>
      </w:pPr>
      <w:r>
        <w:t>11</w:t>
      </w:r>
      <w:r w:rsidR="00B44FE6">
        <w:t xml:space="preserve"> </w:t>
      </w:r>
      <w:r>
        <w:t>januari</w:t>
      </w:r>
      <w:r w:rsidR="00B44FE6">
        <w:t xml:space="preserve"> 201</w:t>
      </w:r>
      <w:r>
        <w:t>9</w:t>
      </w:r>
    </w:p>
    <w:p w:rsidR="00B44FE6" w:rsidRDefault="00B44FE6" w:rsidP="00B44FE6">
      <w:pPr>
        <w:pStyle w:val="BodyAudi"/>
        <w:ind w:right="-46"/>
        <w:jc w:val="right"/>
      </w:pPr>
      <w:r>
        <w:t>A1</w:t>
      </w:r>
      <w:r w:rsidR="007D1D92">
        <w:t>9</w:t>
      </w:r>
      <w:r>
        <w:t>/</w:t>
      </w:r>
      <w:r w:rsidR="007D1D92">
        <w:t>02</w:t>
      </w:r>
      <w:r w:rsidR="00AF6A2A">
        <w:t>N</w:t>
      </w:r>
    </w:p>
    <w:p w:rsidR="00B44FE6" w:rsidRDefault="00B44FE6" w:rsidP="00B44FE6">
      <w:pPr>
        <w:pStyle w:val="BodyAudi"/>
      </w:pPr>
    </w:p>
    <w:p w:rsidR="007D1D92" w:rsidRPr="00CF1209" w:rsidRDefault="007D1D92" w:rsidP="007D1D92">
      <w:pPr>
        <w:pStyle w:val="HeadlineAudi"/>
      </w:pPr>
      <w:r>
        <w:t>Audi sluit 2018 af op zowat 1.812.500 verkochte auto’s</w:t>
      </w:r>
    </w:p>
    <w:p w:rsidR="007D1D92" w:rsidRPr="00CF1209" w:rsidRDefault="007D1D92" w:rsidP="007D1D92"/>
    <w:p w:rsidR="007D1D92" w:rsidRPr="00CF1209" w:rsidRDefault="007D1D92" w:rsidP="007D1D92">
      <w:pPr>
        <w:pStyle w:val="DeckAudi"/>
      </w:pPr>
      <w:r>
        <w:t>Jaareinde wordt afgesloten met een daling van 3,5% als gevolg van de moeilijk omstandigheden</w:t>
      </w:r>
    </w:p>
    <w:p w:rsidR="007D1D92" w:rsidRPr="00CF1209" w:rsidRDefault="007D1D92" w:rsidP="007D1D92">
      <w:pPr>
        <w:pStyle w:val="DeckAudi"/>
      </w:pPr>
      <w:r>
        <w:t>Audi nog maar eens premium marktleider in China</w:t>
      </w:r>
    </w:p>
    <w:p w:rsidR="007D1D92" w:rsidRPr="00CF1209" w:rsidRDefault="007D1D92" w:rsidP="007D1D92">
      <w:pPr>
        <w:pStyle w:val="DeckAudi"/>
      </w:pPr>
      <w:r>
        <w:t>Audi-CEO Bram Schot: “Na een moeilijk jaar maken we ons op voor nieuwe uitdagingen”</w:t>
      </w:r>
    </w:p>
    <w:p w:rsidR="007D1D92" w:rsidRPr="00CF1209" w:rsidRDefault="007D1D92" w:rsidP="007D1D92"/>
    <w:p w:rsidR="007D1D92" w:rsidRPr="00CF1209" w:rsidRDefault="007D1D92" w:rsidP="007D1D92">
      <w:pPr>
        <w:pStyle w:val="BodyAudi"/>
      </w:pPr>
      <w:r>
        <w:t xml:space="preserve">In 2018 leverde Audi wereldwijd zowat 1.812.500 voertuigen af aan klanten, een daling met 3,5 procent in vergelijking met het jaar voordien. In Europa viel de verkoop de voorbije twaalf maanden terug met 13,6 procent. </w:t>
      </w:r>
      <w:r w:rsidR="000A12AF">
        <w:t xml:space="preserve">De </w:t>
      </w:r>
      <w:r>
        <w:t xml:space="preserve"> A1, A6, A7 en Q3 - samen goed voor bijna een derde van de leveringen </w:t>
      </w:r>
      <w:r w:rsidR="000A12AF">
        <w:t>–</w:t>
      </w:r>
      <w:r>
        <w:t xml:space="preserve"> </w:t>
      </w:r>
      <w:r w:rsidR="000A12AF">
        <w:t xml:space="preserve">werden in </w:t>
      </w:r>
      <w:r>
        <w:t>de loop van 2018</w:t>
      </w:r>
      <w:r w:rsidR="000A12AF">
        <w:t xml:space="preserve"> </w:t>
      </w:r>
      <w:bookmarkStart w:id="0" w:name="_GoBack"/>
      <w:bookmarkEnd w:id="0"/>
      <w:r w:rsidR="000A12AF">
        <w:t xml:space="preserve">vernieuwd </w:t>
      </w:r>
      <w:r>
        <w:t>. In China herbevestigde de autobouwer uit Ingolstadt zijn positie van meest succesvolle premium merk voor het 30</w:t>
      </w:r>
      <w:r>
        <w:rPr>
          <w:vertAlign w:val="superscript"/>
        </w:rPr>
        <w:t>e</w:t>
      </w:r>
      <w:r>
        <w:t xml:space="preserve"> jaar op rij. In Noord-Amerika deed het merk het even goed als het jaar voordien (-0,9%).</w:t>
      </w:r>
    </w:p>
    <w:p w:rsidR="007D1D92" w:rsidRPr="00CF1209" w:rsidRDefault="007D1D92" w:rsidP="007D1D92">
      <w:pPr>
        <w:pStyle w:val="BodyAudi"/>
      </w:pPr>
    </w:p>
    <w:p w:rsidR="007D1D92" w:rsidRPr="00CF1209" w:rsidRDefault="007D1D92" w:rsidP="007D1D92">
      <w:pPr>
        <w:pStyle w:val="BodyAudi"/>
      </w:pPr>
      <w:r>
        <w:t xml:space="preserve">“Zoals verwacht is 2018 een uitzonderlijk grote uitdaging gebleken met de grootste model- en technologiecampagne in de geschiedenis van Audi die samenviel met de omschakeling naar de nieuwe WLTP-testcyclus”, zegt Bram Schot, CEO en </w:t>
      </w:r>
      <w:proofErr w:type="gramStart"/>
      <w:r>
        <w:t>interim bestuurslid</w:t>
      </w:r>
      <w:proofErr w:type="gramEnd"/>
      <w:r>
        <w:t xml:space="preserve"> voor Sales en Marketing bij AUDI AG. “De positieve feedback op onze meest recente modellen bewijst de kracht van ons merk dat zich ondertussen volop voorbereidt op de uitdagingen die het nieuwe jaar met zich meebrengt.”</w:t>
      </w:r>
    </w:p>
    <w:p w:rsidR="007D1D92" w:rsidRPr="00CF1209" w:rsidRDefault="007D1D92" w:rsidP="007D1D92">
      <w:pPr>
        <w:pStyle w:val="BodyAudi"/>
      </w:pPr>
    </w:p>
    <w:p w:rsidR="007D1D92" w:rsidRPr="00CF1209" w:rsidRDefault="007D1D92" w:rsidP="007D1D92">
      <w:pPr>
        <w:pStyle w:val="BodyAudi"/>
      </w:pPr>
      <w:r>
        <w:t xml:space="preserve">In China sloot Audi het jaar nog maar eens af met een nieuw recordcijfer: 663.049 verkochte auto’s of een groei van 10,9%. Over de voorbije tien jaar is het verkoopvolume op deze markt meer dan vervijfvoudigd. Audi verkocht hier in 2018 meer dan 10.000 exemplaren (+4,0%) van de nieuwste uitvoering van zijn </w:t>
      </w:r>
      <w:proofErr w:type="spellStart"/>
      <w:r>
        <w:t>fullsize</w:t>
      </w:r>
      <w:proofErr w:type="spellEnd"/>
      <w:r>
        <w:t xml:space="preserve"> vlaggenschip, de A8 L. Voor 2019 staan nog andere hoogtepunten op de agenda zoals de Audi Q2 L e-</w:t>
      </w:r>
      <w:proofErr w:type="spellStart"/>
      <w:r>
        <w:t>tron</w:t>
      </w:r>
      <w:proofErr w:type="spellEnd"/>
      <w:r>
        <w:t>, de eerste lokaal geproduceerde elektrische auto en de Audi e-</w:t>
      </w:r>
      <w:proofErr w:type="spellStart"/>
      <w:r>
        <w:t>tron</w:t>
      </w:r>
      <w:proofErr w:type="spellEnd"/>
      <w:r>
        <w:t xml:space="preserve"> die zal worden ingevoerd. Verder wil het merk in de tweede jaarhelft een belangrijke mijlpaal bereiken met de elektrificatie van zijn Chinees modelaanbod.</w:t>
      </w:r>
    </w:p>
    <w:p w:rsidR="007D1D92" w:rsidRPr="00CF1209" w:rsidRDefault="007D1D92" w:rsidP="007D1D92">
      <w:pPr>
        <w:pStyle w:val="BodyAudi"/>
      </w:pPr>
    </w:p>
    <w:p w:rsidR="007D1D92" w:rsidRPr="00CF1209" w:rsidRDefault="007D1D92" w:rsidP="007D1D92">
      <w:pPr>
        <w:pStyle w:val="BodyAudi"/>
      </w:pPr>
      <w:r>
        <w:lastRenderedPageBreak/>
        <w:t>In Europa werd de gang van zaken in 2018 voor Audi gedomineerd door nieuwe modeluitvoeringen, talrijke politieke en economische onzekerheden en de omschakeling naar de nieuwe WLTP-testcyclus. Alle modellen samengeteld nam de verkoop op het thuiscontinent over heel het jaar af met 13,6 procent tot 743.600 eenheden. Ook op de Belgische markt zag Audi de verkoop in 2018 met 13,84 procent terugvallen tot 28.710 wagens. Met zowat 16.000 prereservaties</w:t>
      </w:r>
      <w:r w:rsidR="007E14D8">
        <w:t xml:space="preserve">, </w:t>
      </w:r>
      <w:proofErr w:type="spellStart"/>
      <w:r w:rsidR="007E14D8">
        <w:t>waarvab</w:t>
      </w:r>
      <w:proofErr w:type="spellEnd"/>
      <w:r w:rsidR="007E14D8">
        <w:t xml:space="preserve"> meer dan 700 in België, </w:t>
      </w:r>
      <w:r>
        <w:t>heeft de Audi e-</w:t>
      </w:r>
      <w:proofErr w:type="spellStart"/>
      <w:r>
        <w:t>tron</w:t>
      </w:r>
      <w:proofErr w:type="spellEnd"/>
      <w:r>
        <w:t xml:space="preserve"> dan weer veel opzien gebaard, ook bij de Europese klanten. De autobouwer blijft volop inzetten op de homologatie van zijn modellen. Week na week kunnen bijkomende motor/versnellingsbakvarianten via de </w:t>
      </w:r>
      <w:proofErr w:type="spellStart"/>
      <w:r>
        <w:t>configurator</w:t>
      </w:r>
      <w:proofErr w:type="spellEnd"/>
      <w:r>
        <w:t xml:space="preserve"> worden besteld. </w:t>
      </w:r>
    </w:p>
    <w:p w:rsidR="007D1D92" w:rsidRPr="00CF1209" w:rsidRDefault="007D1D92" w:rsidP="007D1D92">
      <w:pPr>
        <w:pStyle w:val="BodyAudi"/>
      </w:pPr>
    </w:p>
    <w:p w:rsidR="007D1D92" w:rsidRPr="00CF1209" w:rsidRDefault="007D1D92" w:rsidP="007D1D92">
      <w:pPr>
        <w:pStyle w:val="BodyAudi"/>
      </w:pPr>
      <w:r>
        <w:t xml:space="preserve">In de Verenigde Staten haalde Audi in 2018 nog maar eens uitstekende verkoopcijfers. Het jaar werd er afgesloten met 223.323 verkopen, wat net iets minder is dan in 2017 (-1,4%). Vooral de Q-familie kent in de Verenigde Staten een erg grote bijval. De vraag naar sportieve </w:t>
      </w:r>
      <w:proofErr w:type="spellStart"/>
      <w:r>
        <w:t>offroaders</w:t>
      </w:r>
      <w:proofErr w:type="spellEnd"/>
      <w:r>
        <w:t xml:space="preserve"> steeg er bovengemiddeld met 8,3 procent naar een totaal van 126.252 eenheden. Voor het eerst in de geschiedenis van Audi of America is de SUV-verkoop er goed voor 57 procent van de afleveringen. Het populairste Q-model is de Q5 waarvan de vraag met ruim 21 procent steeg tot een totaal van 69.978 exemplaren.</w:t>
      </w:r>
    </w:p>
    <w:p w:rsidR="007D1D92" w:rsidRPr="00CF1209" w:rsidRDefault="007D1D92" w:rsidP="007D1D92"/>
    <w:tbl>
      <w:tblPr>
        <w:tblW w:w="0" w:type="auto"/>
        <w:tblInd w:w="117" w:type="dxa"/>
        <w:tblLayout w:type="fixed"/>
        <w:tblCellMar>
          <w:left w:w="0" w:type="dxa"/>
          <w:right w:w="0" w:type="dxa"/>
        </w:tblCellMar>
        <w:tblLook w:val="01E0" w:firstRow="1" w:lastRow="1" w:firstColumn="1" w:lastColumn="1" w:noHBand="0" w:noVBand="0"/>
      </w:tblPr>
      <w:tblGrid>
        <w:gridCol w:w="1560"/>
        <w:gridCol w:w="1062"/>
        <w:gridCol w:w="1134"/>
        <w:gridCol w:w="924"/>
        <w:gridCol w:w="1260"/>
        <w:gridCol w:w="1080"/>
        <w:gridCol w:w="900"/>
      </w:tblGrid>
      <w:tr w:rsidR="007D1D92" w:rsidRPr="00CF1209" w:rsidTr="008A31B4">
        <w:trPr>
          <w:trHeight w:hRule="exact" w:val="490"/>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Verkoop AUDI AG</w:t>
            </w:r>
          </w:p>
        </w:tc>
        <w:tc>
          <w:tcPr>
            <w:tcW w:w="3120" w:type="dxa"/>
            <w:gridSpan w:val="3"/>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December</w:t>
            </w:r>
          </w:p>
        </w:tc>
        <w:tc>
          <w:tcPr>
            <w:tcW w:w="3240" w:type="dxa"/>
            <w:gridSpan w:val="3"/>
            <w:tcBorders>
              <w:top w:val="single" w:sz="5" w:space="0" w:color="000000"/>
              <w:left w:val="single" w:sz="5" w:space="0" w:color="000000"/>
              <w:bottom w:val="single" w:sz="5" w:space="0" w:color="000000"/>
              <w:right w:val="single" w:sz="5" w:space="0" w:color="000000"/>
            </w:tcBorders>
          </w:tcPr>
          <w:p w:rsidR="007D1D92" w:rsidRPr="00CF1209" w:rsidRDefault="005F2BA7" w:rsidP="008A31B4">
            <w:r>
              <w:t>G</w:t>
            </w:r>
            <w:r w:rsidR="007D1D92">
              <w:t>ecumuleerd</w:t>
            </w:r>
          </w:p>
        </w:tc>
      </w:tr>
      <w:tr w:rsidR="007D1D92" w:rsidRPr="00CF1209" w:rsidTr="008A31B4">
        <w:trPr>
          <w:trHeight w:hRule="exact" w:val="595"/>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2018</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2017</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Verschil met 2017</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2018</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2017</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Verschil met 2017</w:t>
            </w:r>
          </w:p>
        </w:tc>
      </w:tr>
      <w:tr w:rsidR="007D1D92" w:rsidRPr="00CF1209" w:rsidTr="008A31B4">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Wereldwijd</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154.550</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180.236</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-14,3%</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1.812.500</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1.878.105</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-3,5%</w:t>
            </w:r>
          </w:p>
        </w:tc>
      </w:tr>
      <w:tr w:rsidR="007D1D92" w:rsidRPr="00CF1209" w:rsidTr="008A31B4">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Europa</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51.500</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65.132</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-20,9%</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743.600</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860.624</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-13,6%</w:t>
            </w:r>
          </w:p>
        </w:tc>
      </w:tr>
      <w:tr w:rsidR="007D1D92" w:rsidRPr="00CF1209" w:rsidTr="008A31B4">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 Duitsland</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16.937</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18.815</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-10,0%</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260.456</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294.544</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-11,6%</w:t>
            </w:r>
          </w:p>
        </w:tc>
      </w:tr>
      <w:tr w:rsidR="007D1D92" w:rsidRPr="00CF1209" w:rsidTr="008A31B4">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 UK</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6.314</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10.631</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-40,6%</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143.716</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175.217</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-18,0%</w:t>
            </w:r>
          </w:p>
        </w:tc>
      </w:tr>
      <w:tr w:rsidR="007D1D92" w:rsidRPr="00CF1209" w:rsidTr="008A31B4">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 Frankrijk</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4.186</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6.397</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-34,6%</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51.710</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63.980</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-19,2%</w:t>
            </w:r>
          </w:p>
        </w:tc>
      </w:tr>
      <w:tr w:rsidR="007D1D92" w:rsidRPr="00CF1209" w:rsidTr="008A31B4">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 Italië</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7.554</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5.390</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+40,1%</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62.256</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68.954</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-9,7%</w:t>
            </w:r>
          </w:p>
        </w:tc>
      </w:tr>
      <w:tr w:rsidR="007D1D92" w:rsidRPr="00CF1209" w:rsidTr="008A31B4">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 Spanje</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3.555</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5.026</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-29,3%</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53.105</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56.083</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-5,3%</w:t>
            </w:r>
          </w:p>
        </w:tc>
      </w:tr>
      <w:tr w:rsidR="00744C82" w:rsidRPr="00CF1209" w:rsidTr="00F77C65">
        <w:trPr>
          <w:trHeight w:hRule="exact" w:val="621"/>
        </w:trPr>
        <w:tc>
          <w:tcPr>
            <w:tcW w:w="1560" w:type="dxa"/>
            <w:tcBorders>
              <w:top w:val="single" w:sz="5" w:space="0" w:color="000000"/>
              <w:left w:val="single" w:sz="5" w:space="0" w:color="000000"/>
              <w:bottom w:val="single" w:sz="5" w:space="0" w:color="000000"/>
              <w:right w:val="single" w:sz="5" w:space="0" w:color="000000"/>
            </w:tcBorders>
          </w:tcPr>
          <w:p w:rsidR="00744C82" w:rsidRPr="00744C82" w:rsidRDefault="00744C82" w:rsidP="00744C82">
            <w:pPr>
              <w:rPr>
                <w:sz w:val="20"/>
                <w:szCs w:val="20"/>
              </w:rPr>
            </w:pPr>
            <w:r>
              <w:rPr>
                <w:sz w:val="20"/>
                <w:szCs w:val="20"/>
              </w:rPr>
              <w:t>- België</w:t>
            </w:r>
            <w:r w:rsidR="00F77C65">
              <w:rPr>
                <w:sz w:val="20"/>
                <w:szCs w:val="20"/>
              </w:rPr>
              <w:t xml:space="preserve"> (inschrijvingen)</w:t>
            </w:r>
          </w:p>
        </w:tc>
        <w:tc>
          <w:tcPr>
            <w:tcW w:w="1062" w:type="dxa"/>
            <w:tcBorders>
              <w:top w:val="single" w:sz="5" w:space="0" w:color="000000"/>
              <w:left w:val="single" w:sz="5" w:space="0" w:color="000000"/>
              <w:bottom w:val="single" w:sz="5" w:space="0" w:color="000000"/>
              <w:right w:val="single" w:sz="5" w:space="0" w:color="000000"/>
            </w:tcBorders>
          </w:tcPr>
          <w:p w:rsidR="00744C82" w:rsidRDefault="0048310E" w:rsidP="008A31B4">
            <w:r>
              <w:t>934</w:t>
            </w:r>
          </w:p>
        </w:tc>
        <w:tc>
          <w:tcPr>
            <w:tcW w:w="1134" w:type="dxa"/>
            <w:tcBorders>
              <w:top w:val="single" w:sz="5" w:space="0" w:color="000000"/>
              <w:left w:val="single" w:sz="5" w:space="0" w:color="000000"/>
              <w:bottom w:val="single" w:sz="5" w:space="0" w:color="000000"/>
              <w:right w:val="single" w:sz="5" w:space="0" w:color="000000"/>
            </w:tcBorders>
          </w:tcPr>
          <w:p w:rsidR="00744C82" w:rsidRDefault="0048310E" w:rsidP="008A31B4">
            <w:r>
              <w:t>1.479</w:t>
            </w:r>
          </w:p>
        </w:tc>
        <w:tc>
          <w:tcPr>
            <w:tcW w:w="924" w:type="dxa"/>
            <w:tcBorders>
              <w:top w:val="single" w:sz="5" w:space="0" w:color="000000"/>
              <w:left w:val="single" w:sz="5" w:space="0" w:color="000000"/>
              <w:bottom w:val="single" w:sz="5" w:space="0" w:color="000000"/>
              <w:right w:val="single" w:sz="5" w:space="0" w:color="000000"/>
            </w:tcBorders>
          </w:tcPr>
          <w:p w:rsidR="00744C82" w:rsidRDefault="0048310E" w:rsidP="008A31B4">
            <w:r>
              <w:t>-36,85%</w:t>
            </w:r>
          </w:p>
        </w:tc>
        <w:tc>
          <w:tcPr>
            <w:tcW w:w="1260" w:type="dxa"/>
            <w:tcBorders>
              <w:top w:val="single" w:sz="5" w:space="0" w:color="000000"/>
              <w:left w:val="single" w:sz="5" w:space="0" w:color="000000"/>
              <w:bottom w:val="single" w:sz="5" w:space="0" w:color="000000"/>
              <w:right w:val="single" w:sz="5" w:space="0" w:color="000000"/>
            </w:tcBorders>
          </w:tcPr>
          <w:p w:rsidR="00744C82" w:rsidRDefault="0048310E" w:rsidP="008A31B4">
            <w:r>
              <w:t>28.710</w:t>
            </w:r>
          </w:p>
        </w:tc>
        <w:tc>
          <w:tcPr>
            <w:tcW w:w="1080" w:type="dxa"/>
            <w:tcBorders>
              <w:top w:val="single" w:sz="5" w:space="0" w:color="000000"/>
              <w:left w:val="single" w:sz="5" w:space="0" w:color="000000"/>
              <w:bottom w:val="single" w:sz="5" w:space="0" w:color="000000"/>
              <w:right w:val="single" w:sz="5" w:space="0" w:color="000000"/>
            </w:tcBorders>
          </w:tcPr>
          <w:p w:rsidR="00744C82" w:rsidRDefault="0048310E" w:rsidP="008A31B4">
            <w:r>
              <w:t>33</w:t>
            </w:r>
            <w:r w:rsidR="00BD56A4">
              <w:t>.</w:t>
            </w:r>
            <w:r>
              <w:t>323</w:t>
            </w:r>
          </w:p>
        </w:tc>
        <w:tc>
          <w:tcPr>
            <w:tcW w:w="900" w:type="dxa"/>
            <w:tcBorders>
              <w:top w:val="single" w:sz="5" w:space="0" w:color="000000"/>
              <w:left w:val="single" w:sz="5" w:space="0" w:color="000000"/>
              <w:bottom w:val="single" w:sz="5" w:space="0" w:color="000000"/>
              <w:right w:val="single" w:sz="5" w:space="0" w:color="000000"/>
            </w:tcBorders>
          </w:tcPr>
          <w:p w:rsidR="00744C82" w:rsidRDefault="0048310E" w:rsidP="008A31B4">
            <w:r>
              <w:t>-13,84%</w:t>
            </w:r>
          </w:p>
        </w:tc>
      </w:tr>
      <w:tr w:rsidR="007D1D92" w:rsidRPr="00CF1209" w:rsidTr="008A31B4">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Verenigde Staten</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22.765</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26.977</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-15,6%</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223.323</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226.511</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-1,4%</w:t>
            </w:r>
          </w:p>
        </w:tc>
      </w:tr>
      <w:tr w:rsidR="007D1D92" w:rsidRPr="00CF1209" w:rsidTr="008A31B4">
        <w:trPr>
          <w:trHeight w:hRule="exact" w:val="370"/>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Mexico</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1.520</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2.066</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-26,4%</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14.781</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15.051</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-1,8%</w:t>
            </w:r>
          </w:p>
        </w:tc>
      </w:tr>
      <w:tr w:rsidR="007D1D92" w:rsidRPr="00CF1209" w:rsidTr="008A31B4">
        <w:trPr>
          <w:trHeight w:hRule="exact" w:val="371"/>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Brazilië</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848</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1.001</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-15,3%</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8.810</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10.035</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-12,2%</w:t>
            </w:r>
          </w:p>
        </w:tc>
      </w:tr>
      <w:tr w:rsidR="007D1D92" w:rsidRPr="00CF1209" w:rsidTr="00E33953">
        <w:trPr>
          <w:trHeight w:hRule="exact" w:val="779"/>
        </w:trPr>
        <w:tc>
          <w:tcPr>
            <w:tcW w:w="1560" w:type="dxa"/>
            <w:tcBorders>
              <w:top w:val="single" w:sz="5" w:space="0" w:color="000000"/>
              <w:left w:val="single" w:sz="5" w:space="0" w:color="000000"/>
              <w:bottom w:val="single" w:sz="5" w:space="0" w:color="000000"/>
              <w:right w:val="single" w:sz="5" w:space="0" w:color="000000"/>
            </w:tcBorders>
          </w:tcPr>
          <w:p w:rsidR="007D1D92" w:rsidRPr="007F7ED2" w:rsidRDefault="007D1D92" w:rsidP="008A31B4">
            <w:pPr>
              <w:rPr>
                <w:sz w:val="20"/>
                <w:szCs w:val="20"/>
              </w:rPr>
            </w:pPr>
            <w:r w:rsidRPr="007F7ED2">
              <w:rPr>
                <w:sz w:val="20"/>
                <w:szCs w:val="20"/>
              </w:rPr>
              <w:t>Chinese vasteland</w:t>
            </w:r>
          </w:p>
          <w:p w:rsidR="007D1D92" w:rsidRPr="007F7ED2" w:rsidRDefault="007D1D92" w:rsidP="008A31B4">
            <w:pPr>
              <w:rPr>
                <w:sz w:val="20"/>
                <w:szCs w:val="20"/>
              </w:rPr>
            </w:pPr>
            <w:r w:rsidRPr="007F7ED2">
              <w:rPr>
                <w:sz w:val="20"/>
                <w:szCs w:val="20"/>
              </w:rPr>
              <w:t>(</w:t>
            </w:r>
            <w:proofErr w:type="gramStart"/>
            <w:r w:rsidRPr="007F7ED2">
              <w:rPr>
                <w:sz w:val="20"/>
                <w:szCs w:val="20"/>
              </w:rPr>
              <w:t>incl.</w:t>
            </w:r>
            <w:proofErr w:type="gramEnd"/>
            <w:r w:rsidRPr="007F7ED2">
              <w:rPr>
                <w:sz w:val="20"/>
                <w:szCs w:val="20"/>
              </w:rPr>
              <w:t xml:space="preserve"> Hong Kong)</w:t>
            </w:r>
          </w:p>
        </w:tc>
        <w:tc>
          <w:tcPr>
            <w:tcW w:w="1062"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65.598</w:t>
            </w:r>
          </w:p>
        </w:tc>
        <w:tc>
          <w:tcPr>
            <w:tcW w:w="113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69.160</w:t>
            </w:r>
          </w:p>
        </w:tc>
        <w:tc>
          <w:tcPr>
            <w:tcW w:w="924"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-5,2%</w:t>
            </w:r>
          </w:p>
        </w:tc>
        <w:tc>
          <w:tcPr>
            <w:tcW w:w="126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663.049</w:t>
            </w:r>
          </w:p>
        </w:tc>
        <w:tc>
          <w:tcPr>
            <w:tcW w:w="108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597.866</w:t>
            </w:r>
          </w:p>
        </w:tc>
        <w:tc>
          <w:tcPr>
            <w:tcW w:w="900" w:type="dxa"/>
            <w:tcBorders>
              <w:top w:val="single" w:sz="5" w:space="0" w:color="000000"/>
              <w:left w:val="single" w:sz="5" w:space="0" w:color="000000"/>
              <w:bottom w:val="single" w:sz="5" w:space="0" w:color="000000"/>
              <w:right w:val="single" w:sz="5" w:space="0" w:color="000000"/>
            </w:tcBorders>
          </w:tcPr>
          <w:p w:rsidR="007D1D92" w:rsidRPr="00CF1209" w:rsidRDefault="007D1D92" w:rsidP="008A31B4">
            <w:r>
              <w:t>+10,9%</w:t>
            </w:r>
          </w:p>
        </w:tc>
      </w:tr>
    </w:tbl>
    <w:p w:rsidR="007D1D92" w:rsidRPr="00CF1209" w:rsidRDefault="007D1D92" w:rsidP="007D1D92"/>
    <w:p w:rsidR="00EC7D82" w:rsidRDefault="00EC7D82" w:rsidP="00EC7D82">
      <w:pPr>
        <w:pStyle w:val="BodyAudi"/>
      </w:pPr>
    </w:p>
    <w:p w:rsidR="00B44FE6" w:rsidRDefault="00B44FE6" w:rsidP="00B44FE6">
      <w:pPr>
        <w:pStyle w:val="BodyAudi"/>
      </w:pPr>
    </w:p>
    <w:p w:rsidR="00B44FE6" w:rsidRDefault="00B44FE6" w:rsidP="00B44FE6">
      <w:pPr>
        <w:pStyle w:val="BodyAudi"/>
      </w:pPr>
    </w:p>
    <w:p w:rsidR="00B44FE6" w:rsidRDefault="00B44FE6" w:rsidP="00B44FE6">
      <w:pPr>
        <w:pStyle w:val="BodyAudi"/>
      </w:pPr>
    </w:p>
    <w:p w:rsidR="00E37A96" w:rsidRDefault="00E37A96" w:rsidP="00B44FE6">
      <w:pPr>
        <w:pStyle w:val="BodyAudi"/>
      </w:pPr>
    </w:p>
    <w:p w:rsidR="007470D0" w:rsidRDefault="00694724"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w:t>
      </w:r>
      <w:proofErr w:type="gramStart"/>
      <w:r>
        <w:rPr>
          <w:sz w:val="18"/>
          <w:szCs w:val="18"/>
        </w:rPr>
        <w:t>euro  in</w:t>
      </w:r>
      <w:proofErr w:type="gramEnd"/>
      <w:r>
        <w:rPr>
          <w:sz w:val="18"/>
          <w:szCs w:val="18"/>
        </w:rPr>
        <w:t xml:space="preserve">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660" w:rsidRDefault="00842660" w:rsidP="00B44FE6">
      <w:pPr>
        <w:spacing w:after="0" w:line="240" w:lineRule="auto"/>
      </w:pPr>
      <w:r>
        <w:separator/>
      </w:r>
    </w:p>
  </w:endnote>
  <w:endnote w:type="continuationSeparator" w:id="0">
    <w:p w:rsidR="00842660" w:rsidRDefault="00842660"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660" w:rsidRDefault="00842660" w:rsidP="00B44FE6">
      <w:pPr>
        <w:spacing w:after="0" w:line="240" w:lineRule="auto"/>
      </w:pPr>
      <w:r>
        <w:separator/>
      </w:r>
    </w:p>
  </w:footnote>
  <w:footnote w:type="continuationSeparator" w:id="0">
    <w:p w:rsidR="00842660" w:rsidRDefault="00842660"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F976DB0"/>
    <w:multiLevelType w:val="hybridMultilevel"/>
    <w:tmpl w:val="E9286304"/>
    <w:lvl w:ilvl="0" w:tplc="5DD8897C">
      <w:start w:val="5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C054720"/>
    <w:multiLevelType w:val="hybridMultilevel"/>
    <w:tmpl w:val="F9108BA0"/>
    <w:lvl w:ilvl="0" w:tplc="D6D4FD32">
      <w:start w:val="5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60"/>
    <w:rsid w:val="000A12AF"/>
    <w:rsid w:val="001C3F0E"/>
    <w:rsid w:val="002B2268"/>
    <w:rsid w:val="00345342"/>
    <w:rsid w:val="004353BC"/>
    <w:rsid w:val="0048310E"/>
    <w:rsid w:val="004B2DB8"/>
    <w:rsid w:val="004F57B4"/>
    <w:rsid w:val="0050773E"/>
    <w:rsid w:val="005F1E32"/>
    <w:rsid w:val="005F2BA7"/>
    <w:rsid w:val="00672882"/>
    <w:rsid w:val="00694724"/>
    <w:rsid w:val="00744C82"/>
    <w:rsid w:val="007470D0"/>
    <w:rsid w:val="007D1D92"/>
    <w:rsid w:val="007E14D8"/>
    <w:rsid w:val="007F6FA4"/>
    <w:rsid w:val="00842660"/>
    <w:rsid w:val="008C31CF"/>
    <w:rsid w:val="00953F7A"/>
    <w:rsid w:val="00AF6A2A"/>
    <w:rsid w:val="00B41D53"/>
    <w:rsid w:val="00B44FE6"/>
    <w:rsid w:val="00BD56A4"/>
    <w:rsid w:val="00CC72F7"/>
    <w:rsid w:val="00E33953"/>
    <w:rsid w:val="00E37A96"/>
    <w:rsid w:val="00EC7D82"/>
    <w:rsid w:val="00ED0C3A"/>
    <w:rsid w:val="00F77C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60BB8A"/>
  <w15:chartTrackingRefBased/>
  <w15:docId w15:val="{F9B3C8C2-C5F4-45C2-9150-29740889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ListParagraph">
    <w:name w:val="List Paragraph"/>
    <w:basedOn w:val="Normal"/>
    <w:uiPriority w:val="34"/>
    <w:qFormat/>
    <w:rsid w:val="00744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6</cp:revision>
  <dcterms:created xsi:type="dcterms:W3CDTF">2019-01-11T09:13:00Z</dcterms:created>
  <dcterms:modified xsi:type="dcterms:W3CDTF">2019-01-11T09:31:00Z</dcterms:modified>
</cp:coreProperties>
</file>